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color w:val="333333"/>
          <w:sz w:val="36"/>
          <w:szCs w:val="36"/>
          <w:rtl w:val="0"/>
        </w:rPr>
        <w:t xml:space="preserve">Draw a Diagram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 Label the areas of the brain affected by alcohol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1581150</wp:posOffset>
            </wp:positionH>
            <wp:positionV relativeFrom="paragraph">
              <wp:posOffset>35502</wp:posOffset>
            </wp:positionV>
            <wp:extent cx="3467667" cy="2747963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667" cy="2747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color w:val="333333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What areas of the brain does alcohol affect?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color w:val="333333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What functions do these areas of the brain carry out?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color w:val="333333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What are the short-term effects of drinking and brain function?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color w:val="333333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What can be long-term consequences of teenage drinking on brain development and function?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color w:val="333333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color w:val="333333"/>
          <w:sz w:val="24"/>
          <w:szCs w:val="24"/>
          <w:rtl w:val="0"/>
        </w:rPr>
        <w:t xml:space="preserve">How does drinking affect a teenage brain versus an adult brain?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